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683D53">
      <w:pPr>
        <w:ind w:left="-284" w:right="-2" w:firstLine="5954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>Приложение к письму Ростехнадзора</w:t>
      </w:r>
    </w:p>
    <w:p w:rsidR="00963E95" w:rsidRDefault="00683D53">
      <w:pPr>
        <w:ind w:left="-284" w:right="-2" w:firstLine="59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от ___ </w:t>
      </w:r>
      <w:r w:rsidR="007B7F30">
        <w:rPr>
          <w:rFonts w:ascii="Times New Roman" w:hAnsi="Times New Roman"/>
          <w:szCs w:val="28"/>
        </w:rPr>
        <w:t>дека</w:t>
      </w:r>
      <w:r>
        <w:rPr>
          <w:rFonts w:ascii="Times New Roman" w:hAnsi="Times New Roman"/>
          <w:szCs w:val="28"/>
        </w:rPr>
        <w:t>бря 2022 г. № _________</w:t>
      </w:r>
    </w:p>
    <w:p w:rsidR="00963E95" w:rsidRDefault="00963E95">
      <w:pPr>
        <w:ind w:left="-284" w:right="-2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336861" w:rsidRPr="00336861" w:rsidRDefault="00683D53" w:rsidP="00336861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  <w:r w:rsidR="00336861" w:rsidRPr="00336861">
        <w:rPr>
          <w:rFonts w:ascii="Times New Roman" w:eastAsia="Times New Roman" w:hAnsi="Times New Roman" w:cs="Times New Roman"/>
        </w:rPr>
        <w:t xml:space="preserve">, ПРОИЗОШЕДШЕЙ </w:t>
      </w:r>
    </w:p>
    <w:p w:rsidR="00963E95" w:rsidRDefault="00EA3BF4" w:rsidP="00336861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</w:t>
      </w:r>
      <w:r w:rsidR="00336861" w:rsidRPr="003368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</w:t>
      </w:r>
      <w:r w:rsidR="00336861" w:rsidRPr="00336861">
        <w:rPr>
          <w:rFonts w:ascii="Times New Roman" w:eastAsia="Times New Roman" w:hAnsi="Times New Roman" w:cs="Times New Roman"/>
        </w:rPr>
        <w:t xml:space="preserve">БРЯ 2023 ГОДА В СИСТЕМЕ ЭНЕРГОСНАБЖЕНИЯ </w:t>
      </w:r>
      <w:r>
        <w:rPr>
          <w:rFonts w:ascii="Times New Roman" w:eastAsia="Times New Roman" w:hAnsi="Times New Roman" w:cs="Times New Roman"/>
        </w:rPr>
        <w:t>ЧЕЧЕНСКОЙ РЕСПУБЛИКИ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EA3BF4" w:rsidP="00EA3BF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окт</w:t>
            </w:r>
            <w:r w:rsidR="00336861" w:rsidRPr="00336861">
              <w:rPr>
                <w:rFonts w:ascii="Times New Roman" w:eastAsia="Times New Roman" w:hAnsi="Times New Roman" w:cs="Times New Roman"/>
                <w:color w:val="auto"/>
              </w:rPr>
              <w:t xml:space="preserve">ября 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336861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EA3BF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АО «Чеченэнерго»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3686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CF0996">
              <w:rPr>
                <w:rFonts w:eastAsia="Times New Roman" w:cs="Times New Roman"/>
              </w:rPr>
              <w:t>ПАО «</w:t>
            </w:r>
            <w:r>
              <w:rPr>
                <w:rFonts w:eastAsia="Times New Roman" w:cs="Times New Roman"/>
              </w:rPr>
              <w:t>Россети</w:t>
            </w:r>
            <w:r w:rsidRPr="00CF0996">
              <w:rPr>
                <w:rFonts w:eastAsia="Times New Roman" w:cs="Times New Roman"/>
              </w:rPr>
              <w:t xml:space="preserve"> Северн</w:t>
            </w:r>
            <w:r>
              <w:rPr>
                <w:rFonts w:eastAsia="Times New Roman" w:cs="Times New Roman"/>
              </w:rPr>
              <w:t>ый</w:t>
            </w:r>
            <w:r w:rsidRPr="00CF0996">
              <w:rPr>
                <w:rFonts w:eastAsia="Times New Roman" w:cs="Times New Roman"/>
              </w:rPr>
              <w:t xml:space="preserve"> Кавказ»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2B7853" w:rsidP="002B7853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Трасса Алхан-Кала – </w:t>
            </w:r>
            <w:r w:rsidR="00EA3BF4">
              <w:rPr>
                <w:rFonts w:ascii="Times New Roman" w:eastAsia="Times New Roman" w:hAnsi="Times New Roman" w:cs="Times New Roman"/>
                <w:color w:val="auto"/>
              </w:rPr>
              <w:t>Грозный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западная окраина г. Грозного</w:t>
            </w:r>
            <w:r w:rsidR="00EA3BF4">
              <w:rPr>
                <w:rFonts w:ascii="Times New Roman" w:eastAsia="Times New Roman" w:hAnsi="Times New Roman" w:cs="Times New Roman"/>
                <w:color w:val="auto"/>
              </w:rPr>
              <w:t xml:space="preserve">, Чеченской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Республики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2B7853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B7853">
              <w:t>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2B7853" w:rsidP="00337296">
            <w:pPr>
              <w:pStyle w:val="Standard"/>
              <w:jc w:val="both"/>
              <w:rPr>
                <w:color w:val="FF0000"/>
              </w:rPr>
            </w:pPr>
            <w:r w:rsidRPr="002B7853">
              <w:rPr>
                <w:b/>
              </w:rPr>
              <w:t>24.10.2023 в 11:43</w:t>
            </w:r>
            <w:r w:rsidRPr="002B7853">
              <w:t xml:space="preserve"> на ПС 110 кВ ГРП-110 при выполнении работ по наряду-допуску №675 «Опробование защит в комплекте ступенчатых защит ВЛ 110 кВ Самашки – ГРП-110 (Л-103) (ТЗНП, ДЗ, ТО) (ШДЭ-2802)», при прогрузке токовых цепей, общих с комплектом ПА ВЛ 110 кВ Самашки – ГРП-110 (Л-103) (АЛАРо, АЛАРр, АОПО) (ШЭЭ 221 0109), произошло ошибочное формирование команды №7 (ОГ-200 ДЭ) в ПРД АКА по ВОЛС ВЛ 110 кВ Грозный – ГРП-110 с отпайкой на ПС Черноречье (Л-136).</w:t>
            </w:r>
            <w:r w:rsidR="001E622A">
              <w:t xml:space="preserve"> </w:t>
            </w:r>
            <w:r w:rsidR="001E622A" w:rsidRPr="001E622A">
              <w:t>24.10.2023 в 11:43 на Ирганайской ГЭС по факту приема Команды № 5 (ОГ 1ГГ ИрГЭС) ПРМ АКА 148 кГц ВЛ 330 кВ Ирганайская – Махачкала отключился находившийся в работе Г-1 (200 МВт) с нагрузкой 160 МВт. Станция разгрузилась со 160 МВт до 0 МВт, без потери СН, снизив рабочую мощность на 200 МВт.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1E622A" w:rsidP="003A30A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E622A">
              <w:rPr>
                <w:rFonts w:ascii="Times New Roman" w:eastAsia="Times New Roman" w:hAnsi="Times New Roman" w:cs="Times New Roman"/>
                <w:color w:val="auto"/>
              </w:rPr>
              <w:t>тключился находившийся в работе Г-1 (200 МВт) с нагрузкой 160 МВт. Станция разгрузилась со 160 МВт до 0 МВт, без потери СН, снизив рабочую мощность на 200 МВт.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296" w:rsidRPr="00B37E17" w:rsidRDefault="00C25243" w:rsidP="00B37E17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1.1. </w:t>
            </w:r>
            <w:r w:rsidR="00B37E17" w:rsidRPr="00B37E17">
              <w:rPr>
                <w:rFonts w:ascii="Times New Roman" w:eastAsia="Times New Roman" w:hAnsi="Times New Roman" w:cs="Times New Roman"/>
                <w:color w:val="auto"/>
              </w:rPr>
              <w:t>Причиной формирования и прохождения ложного управляющего воздействия на пуск команды №7 (ОГ-200 ДЭ), в комплекте ПА ВЛ 110 кВ Самашки – ГРП-110 (Л-103) (АЛАРо, АЛАРр, АОПО) (ШЭЭ 221 0109) на ПС 110 кВ ГРП-110 явилось наличие замкнутых контактов ключа SA16 (ОГ-3 ОГ200 ЧГЭС). Поврежден шток ключа, при отключенном положении не произошло размыкание контактов.</w:t>
            </w:r>
          </w:p>
          <w:p w:rsidR="00B37E17" w:rsidRPr="00C7407A" w:rsidRDefault="00C25243" w:rsidP="00B37E17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1.2. </w:t>
            </w:r>
            <w:r w:rsidR="00B37E17" w:rsidRPr="00B37E17">
              <w:rPr>
                <w:rFonts w:ascii="Times New Roman" w:eastAsia="Times New Roman" w:hAnsi="Times New Roman" w:cs="Times New Roman"/>
                <w:color w:val="auto"/>
              </w:rPr>
              <w:t xml:space="preserve">Причиной не реализации команды №6 (ОГ 1ГГ МГЭС) на Миатлинской ГЭС, полученной по ПРМ АКА 324 кГц ВЛ 110 кВ Чирюрт - Миатлинская ГЭС №1 (ВЛ-110-161), явилась неисправность ключа RSX №29 «Ввод/вывод воздействия на </w:t>
            </w:r>
            <w:r w:rsidR="00B37E17" w:rsidRPr="00B37E1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отключение Г-1» (неисправность контактной пары).</w:t>
            </w:r>
          </w:p>
        </w:tc>
      </w:tr>
      <w:tr w:rsidR="00B37E17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Pr="00C7407A" w:rsidRDefault="00B37E17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2. Организационные причины аварии:</w:t>
            </w:r>
          </w:p>
          <w:p w:rsidR="00B37E17" w:rsidRPr="00C7407A" w:rsidRDefault="00B37E17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Default="00C25243" w:rsidP="00B37E17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2.1. </w:t>
            </w:r>
            <w:r w:rsidR="00B37E17" w:rsidRPr="00B37E17">
              <w:rPr>
                <w:lang w:eastAsia="zh-CN"/>
              </w:rPr>
              <w:t>Причиной формирования ложного управляющего воздействия на пуск команды №7 (ОГ-200 ДЭ) в комплекте ПА ВЛ 110 кВ Самашки – ГРП-110 (Л-103) (АЛАРо, АЛАРр, АОПО) (ШЭЭ 221 0109) на ПС 110 кВ ГРП-110 явились ошибочные действия оперативного персонала ПС 110 кВ ГРП-110. В ТБП «№ 1 ТБП РЗА Л-103» по выводу для ТО комплекта ПА ВЛ 110 кВ Самашки – ГРП-110 (Л-103) (АЛАРо, АЛАРр, АОПО) (ШЭЭ 221 0109) отсутствует операция по выводу ключа SA-5 «АОПО».</w:t>
            </w:r>
          </w:p>
          <w:p w:rsidR="00B37E17" w:rsidRDefault="00C25243" w:rsidP="00B37E17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2.2. </w:t>
            </w:r>
            <w:r w:rsidR="00B37E17" w:rsidRPr="00B37E17">
              <w:rPr>
                <w:lang w:eastAsia="zh-CN"/>
              </w:rPr>
              <w:t>Причиной формирования ложного управляющего воздействия на пуск команды №7 (ОГ-200 ДЭ) в комплекте ПА ВЛ 110 кВ Самашки – ГРП-110 (Л-103) (АЛАРо, АЛАРр, АОПО) (ШЭЭ 221 0109) на ПС 110 кВ ГРП-110 явились ошибочные действия ремонтного персонала СРЗА. В ходе послеаварийной проверки комплекта ступенчатых защит ВЛ 110 кВ Самашки – ГРП-110 (Л-103) (ТЗНП, ДЗ, ТО) (ШДЭ-2802), при подаче тока испытательным прибором РЕТОМ-51, ошибочно подан ток на клемные зажимы токовых цепей комплекта ПА ВЛ 110 кВ Самашки – ГРП-110 (Л-103) (АЛАРо, АЛАРр, АОПО) (ШЭЭ 221 0109).</w:t>
            </w:r>
          </w:p>
          <w:p w:rsidR="00B37E17" w:rsidRDefault="00C25243" w:rsidP="00B37E17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2.3. </w:t>
            </w:r>
            <w:r w:rsidR="00B37E17" w:rsidRPr="00B37E17">
              <w:rPr>
                <w:lang w:eastAsia="zh-CN"/>
              </w:rPr>
              <w:t>Причиной формирования ложного управляющего воздействия на пуск команды №7 (ОГ-200 ДЭ) в комплекте ПА ВЛ 110 кВ Самашки – ГРП-110 (Л-103) (АЛАРо, АЛАРр, АОПО) (ШЭЭ 221 0109) на ПС 110 кВ ГРП-110 явилось не выявление дефекта ключа SA-16 (поврежден шток ключа) в комплекте ПА ВЛ 110 кВ Самашки – ГРП-110 (Л-103) (АЛАРо, АЛАРр, АОПО) (ШЭЭ 221 0109) при проведении ТО 27.05.2020 в объеме «К1».</w:t>
            </w:r>
          </w:p>
          <w:p w:rsidR="00B37E17" w:rsidRDefault="00C25243" w:rsidP="00B37E17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2.4. </w:t>
            </w:r>
            <w:r w:rsidR="00B37E17" w:rsidRPr="00B37E17">
              <w:rPr>
                <w:lang w:eastAsia="zh-CN"/>
              </w:rPr>
              <w:t>Причиной не реализации команды №6 (ОГ 1ГГ МГЭС), полученной по ПРМ АКА 324 кГц ВЛ 110 кВ Чирюрт - Миатлинская ГЭС №1 (ВЛ-110-161) на Миатлинской ГЭС, явилось не выявление дефекта ключа RSX №29 (ввод/вывод воздействия на отключение Г-1), неисправность контактной пары, при проведении ТО 08.09.2023 в объеме «В».</w:t>
            </w:r>
          </w:p>
          <w:p w:rsidR="00B37E17" w:rsidRDefault="00C25243" w:rsidP="00B37E17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2.5. </w:t>
            </w:r>
            <w:r w:rsidR="00B37E17" w:rsidRPr="00B37E17">
              <w:rPr>
                <w:lang w:eastAsia="zh-CN"/>
              </w:rPr>
              <w:t>Причина приёма команды №24 (неиспользуемая команда), по ПРМ АКА 372 кГц ВЛ 110 кВ Чирюрт - Миатлинская ГЭС №2 (ВЛ-110-162), вместо команды №6 (ОГ 1ГГ МГЭС), на Миатлинской ГЭС в ходе проведения послеаварийной проверки не выявлена.</w:t>
            </w:r>
          </w:p>
        </w:tc>
      </w:tr>
      <w:tr w:rsidR="00B37E17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Pr="00C7407A" w:rsidRDefault="00B37E17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B37E17" w:rsidRPr="00C7407A" w:rsidRDefault="00B37E1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Default="00C25243" w:rsidP="00B37E17">
            <w:pPr>
              <w:jc w:val="both"/>
            </w:pPr>
            <w:r>
              <w:t xml:space="preserve">3.1. </w:t>
            </w:r>
            <w:r w:rsidR="00B37E17" w:rsidRPr="00B37E17">
              <w:t>Выполнить внеочередное техническое обслуживание в объеме «Восстановление» ПРД АНКА 372 кГц ВЛ 110 кВ Чирюрт - Миатлинская ГЭС №2 (ВЛ-110-162) на ПС 330 кВ Чирюрт и ПРМ АКА 372 кГц ВЛ 110 кВ Чирюрт - Миатлинская ГЭС №2 (ВЛ-110-162) на Миатлинской ГЭС.</w:t>
            </w:r>
          </w:p>
          <w:p w:rsidR="00B37E17" w:rsidRDefault="00C25243" w:rsidP="00B37E17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3.2. </w:t>
            </w:r>
            <w:r w:rsidR="00B37E17" w:rsidRPr="00B37E17">
              <w:rPr>
                <w:lang w:eastAsia="zh-CN"/>
              </w:rPr>
              <w:t>Обеспечить заведение дискретных сигналов положение ключей управляющих воздействий комплекта ПА ВЛ 110 кВ Самашки – ГРП-110 (Л-103) (АЛАРо, АЛАРр, АОПО) (ШЭЭ 221 0109), которые не регистрируются внутренним регистратором комплекта ПА, в автономный регистратор аварийных событий (РАС АУРА), на ПС 110 кВ ГРП-110.</w:t>
            </w:r>
          </w:p>
        </w:tc>
      </w:tr>
      <w:tr w:rsidR="00B37E17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Pr="003A30A1" w:rsidRDefault="00B37E17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Организационные мероприятия:</w:t>
            </w:r>
          </w:p>
          <w:p w:rsidR="00B37E17" w:rsidRPr="00C7407A" w:rsidRDefault="00B37E1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Default="00C25243" w:rsidP="00B37E17">
            <w:pPr>
              <w:jc w:val="both"/>
            </w:pPr>
            <w:r>
              <w:t xml:space="preserve">4.1. </w:t>
            </w:r>
            <w:r w:rsidR="00B37E17" w:rsidRPr="00B37E17">
              <w:t>Провести внеплановый инструктаж оперативному персоналу, обслуживающему ПС 110 кВ ГРП-110 на тему: «Правила производства переключений в электроустановках. Вывод для ТО устройств РЗиА Составление бланков переключений».</w:t>
            </w:r>
          </w:p>
          <w:p w:rsidR="00B37E17" w:rsidRDefault="00C25243" w:rsidP="00B37E17">
            <w:pPr>
              <w:jc w:val="both"/>
            </w:pPr>
            <w:r>
              <w:lastRenderedPageBreak/>
              <w:t xml:space="preserve">4.2. </w:t>
            </w:r>
            <w:r w:rsidR="00B37E17" w:rsidRPr="00B37E17">
              <w:t>Провести внеплановый инструктаж оперативному персоналу, обслуживающему ПС 110 кВ ГРП-110 на тему: «Правила ведения оперативной документации».</w:t>
            </w:r>
          </w:p>
          <w:p w:rsidR="00B37E17" w:rsidRDefault="00C25243" w:rsidP="00B37E17">
            <w:pPr>
              <w:jc w:val="both"/>
            </w:pPr>
            <w:r>
              <w:t xml:space="preserve">4.3. </w:t>
            </w:r>
            <w:r w:rsidR="00B37E17" w:rsidRPr="00B37E17">
              <w:t>Провести внеплановый инструктаж персоналу, обслуживающему устройства РЗА ПС 110 кВ ГРП-110 на тему: «Объем и последовательность выполнения работ при проведении ТО устройств РЗиА».</w:t>
            </w:r>
          </w:p>
          <w:p w:rsidR="00B37E17" w:rsidRDefault="00C25243" w:rsidP="00B37E17">
            <w:pPr>
              <w:jc w:val="both"/>
            </w:pPr>
            <w:r>
              <w:t xml:space="preserve">4.4. </w:t>
            </w:r>
            <w:r w:rsidR="00B37E17" w:rsidRPr="00B37E17">
              <w:t>Провести внеплановый инструктаж персоналу, обслуживающему устройства РЗА ПС 110 кВ ГРП-110 на тему: «Выявление и устранение дефектов, причины и степень износа деталей аппаратуры устройств РЗА, при проведении ТО».</w:t>
            </w:r>
          </w:p>
          <w:p w:rsidR="00B37E17" w:rsidRDefault="00B37E17" w:rsidP="00B37E17">
            <w:pPr>
              <w:jc w:val="both"/>
            </w:pPr>
            <w:r w:rsidRPr="00B37E17">
              <w:t>Провести внеочередную проверку знаний оперативного персонала службы ПС ЮУЭС и СУЭС в центральной экзаменационной комиссии АО «Чеченэнерго»</w:t>
            </w:r>
          </w:p>
          <w:p w:rsidR="00B37E17" w:rsidRDefault="00C25243" w:rsidP="00B37E17">
            <w:pPr>
              <w:jc w:val="both"/>
            </w:pPr>
            <w:r>
              <w:t xml:space="preserve">4.5. </w:t>
            </w:r>
            <w:r w:rsidR="00B37E17" w:rsidRPr="00B37E17">
              <w:t>Провести внеплановый инструктаж персоналу, обслуживающему устройства РЗА Миатлинской ГЭС на тему: «Выявление и устранение дефектов, причины и степень износа деталей аппаратуры устройств РЗА, при проведении ТО».</w:t>
            </w:r>
          </w:p>
          <w:p w:rsidR="00B37E17" w:rsidRDefault="00B37E17" w:rsidP="00B37E17">
            <w:pPr>
              <w:jc w:val="both"/>
            </w:pPr>
            <w:r w:rsidRPr="00B37E17">
              <w:t>Разработать график проведения внеочередного ТО всех ПРМ, ПРД типа АНКА-АВПА в объеме «Восстановление» на ПС Дагестанского РМЭС.</w:t>
            </w:r>
          </w:p>
          <w:p w:rsidR="00B37E17" w:rsidRDefault="00C25243" w:rsidP="00B37E17">
            <w:pPr>
              <w:jc w:val="both"/>
            </w:pPr>
            <w:r>
              <w:t xml:space="preserve">4.6. </w:t>
            </w:r>
            <w:r w:rsidR="00B37E17" w:rsidRPr="00B37E17">
              <w:t>Проработать материалы данного расследования со всем оперативным персоналом общества (филиала), с персоналом обслуживающим устройства РЗиА.</w:t>
            </w:r>
          </w:p>
        </w:tc>
      </w:tr>
      <w:tr w:rsidR="00B37E17" w:rsidRPr="00C7407A" w:rsidTr="004458C5">
        <w:trPr>
          <w:trHeight w:val="30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Pr="00C7407A" w:rsidRDefault="00B37E1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5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Default="004458C5" w:rsidP="004458C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5.1. Усилить контроль за соблюдение требований правил работы с персоналом в части проведения обязательного обучения, всех предусмотренных инструктажей и проверки знаний.</w:t>
            </w:r>
          </w:p>
          <w:p w:rsidR="004458C5" w:rsidRDefault="004458C5" w:rsidP="004458C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5.2. Усилить контроль за проведением технического обслуживания, ремонта, наладки, испытаний эксплуатируемого оборудования.</w:t>
            </w:r>
          </w:p>
          <w:p w:rsidR="004458C5" w:rsidRDefault="004458C5" w:rsidP="00B96A0B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5.3. Усилить контроль за выполнением работ электротехническим </w:t>
            </w:r>
            <w:r w:rsidR="00B96A0B">
              <w:rPr>
                <w:lang w:eastAsia="zh-CN"/>
              </w:rPr>
              <w:t>персоналом организаций, в части обеспечения безопасности проведения работ, соблюдения программ и графиков выполнения работ, в целях предупреждения аварийных ситуаций.</w:t>
            </w:r>
          </w:p>
        </w:tc>
      </w:tr>
      <w:tr w:rsidR="00B37E17" w:rsidRPr="00C7407A" w:rsidTr="002B0556">
        <w:trPr>
          <w:trHeight w:val="679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Pr="00C7407A" w:rsidRDefault="00B37E17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6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B37E17" w:rsidRPr="00C7407A" w:rsidRDefault="00B37E1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E17" w:rsidRPr="00C7407A" w:rsidRDefault="00B37E17" w:rsidP="00B37E17">
            <w:pPr>
              <w:pStyle w:val="TableContents"/>
              <w:ind w:left="-105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  <w:drawing>
                <wp:inline distT="0" distB="0" distL="0" distR="0" wp14:anchorId="79EAC787" wp14:editId="3EF57576">
                  <wp:extent cx="3678865" cy="4644173"/>
                  <wp:effectExtent l="0" t="0" r="0" b="4445"/>
                  <wp:docPr id="1" name="Рисунок 1" descr="\\10.9.22.5\обмен\4. Отдел №11.3 ДАКАЕВ\20. Расследование Аварии\Инфо от ЧЭ по запрсу\8\8\5b8cfd06-881a-4fb2-bf70-abab7f5ce5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10.9.22.5\обмен\4. Отдел №11.3 ДАКАЕВ\20. Расследование Аварии\Инфо от ЧЭ по запрсу\8\8\5b8cfd06-881a-4fb2-bf70-abab7f5ce5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962" cy="464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  <w:lastRenderedPageBreak/>
              <w:drawing>
                <wp:inline distT="0" distB="0" distL="0" distR="0" wp14:anchorId="69A80D9A" wp14:editId="6F1EAFB3">
                  <wp:extent cx="4455160" cy="5932805"/>
                  <wp:effectExtent l="0" t="0" r="2540" b="0"/>
                  <wp:docPr id="3" name="Рисунок 3" descr="\\10.9.22.5\обмен\4. Отдел №11.3 ДАКАЕВ\20. Расследование Аварии\Инфо от ЧЭ по запрсу\8\8\347ff30b-794c-4029-9461-acf8e45666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0.9.22.5\обмен\4. Отдел №11.3 ДАКАЕВ\20. Расследование Аварии\Инфо от ЧЭ по запрсу\8\8\347ff30b-794c-4029-9461-acf8e45666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160" cy="593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9"/>
      <w:footerReference w:type="default" r:id="rId10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82" w:rsidRDefault="00204D82">
      <w:r>
        <w:separator/>
      </w:r>
    </w:p>
  </w:endnote>
  <w:endnote w:type="continuationSeparator" w:id="0">
    <w:p w:rsidR="00204D82" w:rsidRDefault="002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82" w:rsidRDefault="00204D82">
      <w:r>
        <w:separator/>
      </w:r>
    </w:p>
  </w:footnote>
  <w:footnote w:type="continuationSeparator" w:id="0">
    <w:p w:rsidR="00204D82" w:rsidRDefault="0020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132C6E"/>
    <w:rsid w:val="001C73DF"/>
    <w:rsid w:val="001E622A"/>
    <w:rsid w:val="001F0D71"/>
    <w:rsid w:val="00204D82"/>
    <w:rsid w:val="002B7853"/>
    <w:rsid w:val="00336861"/>
    <w:rsid w:val="00337296"/>
    <w:rsid w:val="003A30A1"/>
    <w:rsid w:val="004458C5"/>
    <w:rsid w:val="004605DA"/>
    <w:rsid w:val="00596080"/>
    <w:rsid w:val="00683D53"/>
    <w:rsid w:val="007B7F30"/>
    <w:rsid w:val="008A021E"/>
    <w:rsid w:val="00963E95"/>
    <w:rsid w:val="00982E1F"/>
    <w:rsid w:val="00A755F4"/>
    <w:rsid w:val="00B141F2"/>
    <w:rsid w:val="00B37E17"/>
    <w:rsid w:val="00B96A0B"/>
    <w:rsid w:val="00BC2E3E"/>
    <w:rsid w:val="00C25243"/>
    <w:rsid w:val="00C7407A"/>
    <w:rsid w:val="00E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3372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37296"/>
    <w:rPr>
      <w:color w:val="000000"/>
      <w:kern w:val="3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296"/>
    <w:pPr>
      <w:suppressAutoHyphens w:val="0"/>
      <w:overflowPunct/>
      <w:autoSpaceDE/>
      <w:autoSpaceDN/>
      <w:spacing w:after="160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lang w:eastAsia="zh-CN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37296"/>
    <w:rPr>
      <w:rFonts w:ascii="Times New Roman" w:eastAsia="Times New Roman" w:hAnsi="Times New Roman" w:cs="Times New Roman"/>
      <w:b/>
      <w:bCs/>
      <w:color w:val="000000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3372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37296"/>
    <w:rPr>
      <w:color w:val="000000"/>
      <w:kern w:val="3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296"/>
    <w:pPr>
      <w:suppressAutoHyphens w:val="0"/>
      <w:overflowPunct/>
      <w:autoSpaceDE/>
      <w:autoSpaceDN/>
      <w:spacing w:after="160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lang w:eastAsia="zh-CN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37296"/>
    <w:rPr>
      <w:rFonts w:ascii="Times New Roman" w:eastAsia="Times New Roman" w:hAnsi="Times New Roman" w:cs="Times New Roman"/>
      <w:b/>
      <w:bCs/>
      <w:color w:val="000000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Василевский Александр Антонович</dc:creator>
  <cp:lastModifiedBy>Прудникова Ольга Алексеевна</cp:lastModifiedBy>
  <cp:revision>2</cp:revision>
  <cp:lastPrinted>2022-12-26T12:32:00Z</cp:lastPrinted>
  <dcterms:created xsi:type="dcterms:W3CDTF">2023-11-20T08:18:00Z</dcterms:created>
  <dcterms:modified xsi:type="dcterms:W3CDTF">2023-11-20T08:18:00Z</dcterms:modified>
</cp:coreProperties>
</file>